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77" w:lineRule="auto"/>
        <w:ind w:firstLine="127"/>
        <w:rPr/>
      </w:pPr>
      <w:r w:rsidDel="00000000" w:rsidR="00000000" w:rsidRPr="00000000">
        <w:rPr>
          <w:rtl w:val="0"/>
        </w:rPr>
        <w:t xml:space="preserve">OCHRANA OSOBNÝCH ÚDAJOV</w:t>
      </w:r>
    </w:p>
    <w:p w:rsidR="00000000" w:rsidDel="00000000" w:rsidP="00000000" w:rsidRDefault="00000000" w:rsidRPr="00000000" w14:paraId="00000002">
      <w:pPr>
        <w:spacing w:before="58" w:lineRule="auto"/>
        <w:ind w:left="127" w:right="0" w:firstLine="0"/>
        <w:jc w:val="center"/>
        <w:rPr>
          <w:b w:val="1"/>
          <w:bCs w:val="1"/>
          <w:sz w:val="32"/>
          <w:szCs w:val="32"/>
        </w:rPr>
      </w:pPr>
      <w:r w:rsidDel="00000000" w:rsidR="00000000" w:rsidRPr="00000000">
        <w:rPr>
          <w:b w:val="1"/>
          <w:bCs w:val="1"/>
          <w:sz w:val="32"/>
          <w:szCs w:val="32"/>
          <w:rtl w:val="0"/>
        </w:rPr>
        <w:t xml:space="preserve">Zásady ochrany osobných údajov platformy RezervujTo.sk</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ahoma" w:cs="Tahoma" w:eastAsia="Tahoma" w:hAnsi="Tahoma"/>
          <w:b w:val="1"/>
          <w:bCs w:val="1"/>
          <w:i w:val="0"/>
          <w:iCs w:val="0"/>
          <w:smallCaps w:val="0"/>
          <w:strike w:val="0"/>
          <w:color w:val="000000"/>
          <w:sz w:val="9"/>
          <w:szCs w:val="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92075</wp:posOffset>
                </wp:positionH>
                <wp:positionV relativeFrom="paragraph">
                  <wp:posOffset>84136</wp:posOffset>
                </wp:positionV>
                <wp:extent cx="5753100" cy="12700"/>
                <wp:effectExtent b="0" l="0" r="0" t="0"/>
                <wp:wrapTopAndBottom distB="0" distT="0"/>
                <wp:docPr id="1" name=""/>
                <a:graphic>
                  <a:graphicData uri="http://schemas.microsoft.com/office/word/2010/wordprocessingShape">
                    <wps:wsp>
                      <wps:cNvSpPr/>
                      <wps:cNvPr id="2" name="Shape 2"/>
                      <wps:spPr>
                        <a:xfrm>
                          <a:off x="2469450" y="3779365"/>
                          <a:ext cx="5753100" cy="1270"/>
                        </a:xfrm>
                        <a:custGeom>
                          <a:rect b="b" l="l" r="r" t="t"/>
                          <a:pathLst>
                            <a:path extrusionOk="0" h="120000" w="5753100">
                              <a:moveTo>
                                <a:pt x="0" y="0"/>
                              </a:moveTo>
                              <a:lnTo>
                                <a:pt x="5753100" y="0"/>
                              </a:lnTo>
                            </a:path>
                          </a:pathLst>
                        </a:custGeom>
                        <a:noFill/>
                        <a:ln cap="flat" cmpd="sng" w="12700">
                          <a:solidFill>
                            <a:srgbClr val="4E81B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92075</wp:posOffset>
                </wp:positionH>
                <wp:positionV relativeFrom="paragraph">
                  <wp:posOffset>84136</wp:posOffset>
                </wp:positionV>
                <wp:extent cx="5753100"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753100" cy="12700"/>
                        </a:xfrm>
                        <a:prstGeom prst="rect"/>
                        <a:ln/>
                      </pic:spPr>
                    </pic:pic>
                  </a:graphicData>
                </a:graphic>
              </wp:anchor>
            </w:drawing>
          </mc:Fallback>
        </mc:AlternateConten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bCs w:val="1"/>
          <w:i w:val="0"/>
          <w:iCs w:val="0"/>
          <w:smallCaps w:val="0"/>
          <w:strike w:val="0"/>
          <w:color w:val="000000"/>
          <w:sz w:val="32"/>
          <w:szCs w:val="32"/>
          <w:u w:val="none"/>
          <w:shd w:fill="auto" w:val="clear"/>
          <w:vertAlign w:val="baseline"/>
        </w:rPr>
      </w:pPr>
      <w:r w:rsidDel="00000000" w:rsidR="00000000" w:rsidRPr="00000000">
        <w:rPr>
          <w:rtl w:val="0"/>
        </w:rPr>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Ochrana osobných údajov na platforme RezervujTo.sk dostupnej na adrese https://rezervujto.sk (ďalej len „platforma“) je u prevádzkovateľa </w:t>
      </w:r>
      <w:r>
        <w:rPr>
          <w:rFonts w:ascii="Tahoma" w:cs="Tahoma" w:eastAsia="Tahoma" w:hAnsi="Tahoma"/>
          <w:b w:val="1"/>
          <w:bCs w:val="1"/>
          <w:color w:val="000000"/>
          <w:sz w:val="20"/>
          <w:szCs w:val="20"/>
        </w:rPr>
        <w:t xml:space="preserve">aservis s. r. o.</w:t>
      </w:r>
      <w:r>
        <w:rPr>
          <w:rFonts w:ascii="Tahoma" w:cs="Tahoma" w:eastAsia="Tahoma" w:hAnsi="Tahoma"/>
          <w:b w:val="0"/>
          <w:bCs w:val="0"/>
          <w:color w:val="000000"/>
          <w:sz w:val="20"/>
          <w:szCs w:val="20"/>
        </w:rPr>
        <w:t xml:space="preserve">, so sídlom: Pšurnovice 255, 014 01 Bytča, IČO: 51 257 602, zapísaného v Obchodnom registri Okresného súdu Žilina, oddiel: Sro, vložka číslo: 69085/L (ďalej len „prevádzkovateľ“ alebo „my“) zabezpečená v súlade s požiadavkami Nariadenia Európskeho parlamentu a Rady (EÚ) 2016/679 z 27. apríla 2016 o ochrane fyzických osôb pri spracúvaní osobných údajov a o voľnom pohybe takýchto údajov, ktorým sa zrušuje smernica 95/46/ES (všeobecné nariadenie o ochrane údajov) (ďalej len „Nariadenie“ alebo „GDPR“) a zákona č. 18/2018 Z. z. o ochrane osobných údajov a o zmene a doplnení niektorých zákonov (ďalej len „Zákon“). Záleží nám na ochrane Vašich osobných údajov, preto Vás týmto informujeme o tom, ako ich spracúvame.</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Ako základný právny rámec ochrany osobných údajov u nás uplatňujeme platné a účinné znenie Nariadenia a Zákona. Okrem týchto predpisov pri nastavení ochrany osobných údajov berieme do úvahy aj normy ISO 27001, ISO 27000 a ISO 31000.</w:t>
      </w:r>
    </w:p>
    <w:p>
      <w:pPr>
        <w:spacing w:after="0" w:before="0" w:line="240" w:lineRule="auto"/>
        <w:ind w:left="141"/>
      </w:pPr>
    </w:p>
    <w:p>
      <w:pPr>
        <w:pStyle w:val="Heading2"/>
        <w:keepNext w:val="1"/>
        <w:spacing w:after="80"/>
        <w:ind w:firstLine="141"/>
        <w:jc w:val="both"/>
        <w:rPr/>
      </w:pPr>
      <w:r>
        <w:t xml:space="preserve">Kontaktné údaje prevádzkovateľa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Adresa: aservis s. r. o., Pšurnovice 255, 014 01 Bytča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E-mail: info@rezervujto.sk</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Telefón: +421 902 423 503</w:t>
      </w:r>
    </w:p>
    <w:p>
      <w:pPr>
        <w:spacing w:after="0" w:before="0" w:line="240" w:lineRule="auto"/>
        <w:ind w:left="141"/>
      </w:pPr>
    </w:p>
    <w:p>
      <w:pPr>
        <w:pStyle w:val="Heading2"/>
        <w:keepNext w:val="1"/>
        <w:spacing w:after="80"/>
        <w:ind w:firstLine="141"/>
        <w:jc w:val="both"/>
        <w:rPr/>
      </w:pPr>
      <w:r>
        <w:t xml:space="preserve">Koho sa tieto zásady týkajú</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Tieto zásady sa vzťahujú na návštevníkov platformy, na zákazníkov, ktorí si na platforme vytvoria účet a rezervujú ubytovanie alebo služby, a na poskytovateľov, ktorí na platforme ponúkajú svoje prevádzky, vrátane ich kontaktných osôb.</w:t>
      </w:r>
    </w:p>
    <w:p>
      <w:pPr>
        <w:spacing w:after="0" w:before="0" w:line="240" w:lineRule="auto"/>
        <w:ind w:left="141"/>
      </w:pPr>
    </w:p>
    <w:p>
      <w:pPr>
        <w:pStyle w:val="Heading2"/>
        <w:keepNext w:val="1"/>
        <w:spacing w:after="80"/>
        <w:ind w:firstLine="141"/>
        <w:jc w:val="both"/>
        <w:rPr/>
      </w:pPr>
      <w:r>
        <w:t xml:space="preserve">Aké osobné údaje spracúvame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Údaje o účte:</w:t>
      </w:r>
      <w:r>
        <w:rPr>
          <w:rFonts w:ascii="Tahoma" w:cs="Tahoma" w:eastAsia="Tahoma" w:hAnsi="Tahoma"/>
          <w:b w:val="0"/>
          <w:bCs w:val="0"/>
          <w:color w:val="000000"/>
          <w:sz w:val="20"/>
          <w:szCs w:val="20"/>
        </w:rPr>
        <w:t xml:space="preserve"> používateľské meno, e-mailová adresa, heslo (ukladáme ho len v hašovanej podobe, nie v čitateľnej forme), profilová fotografia (ak ju nahráte), dátum registrácie, čas posledného prihlásenia, informácia o potvrdení e-mailovej adresy, typ účtu a partnerský (referral) kód, ak ste ho pri registrácii použili.</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Údaje o rezerváciách:</w:t>
      </w:r>
      <w:r>
        <w:rPr>
          <w:rFonts w:ascii="Tahoma" w:cs="Tahoma" w:eastAsia="Tahoma" w:hAnsi="Tahoma"/>
          <w:b w:val="0"/>
          <w:bCs w:val="0"/>
          <w:color w:val="000000"/>
          <w:sz w:val="20"/>
          <w:szCs w:val="20"/>
        </w:rPr>
        <w:t xml:space="preserve"> prevádzka, izba alebo služba, dátum a čas (príchod, odchod), cena, stav rezervácie a čas jej vytvorenia.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Hodnotenia a nahlásenia:</w:t>
      </w:r>
      <w:r>
        <w:rPr>
          <w:rFonts w:ascii="Tahoma" w:cs="Tahoma" w:eastAsia="Tahoma" w:hAnsi="Tahoma"/>
          <w:b w:val="0"/>
          <w:bCs w:val="0"/>
          <w:color w:val="000000"/>
          <w:sz w:val="20"/>
          <w:szCs w:val="20"/>
        </w:rPr>
        <w:t xml:space="preserve"> počet hviezdičiek, text a dátum hodnotenia; obsah a dôvod nahlásenia, ktoré nám pošlete.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Údaje poskytovateľov:</w:t>
      </w:r>
      <w:r>
        <w:rPr>
          <w:rFonts w:ascii="Tahoma" w:cs="Tahoma" w:eastAsia="Tahoma" w:hAnsi="Tahoma"/>
          <w:b w:val="0"/>
          <w:bCs w:val="0"/>
          <w:color w:val="000000"/>
          <w:sz w:val="20"/>
          <w:szCs w:val="20"/>
        </w:rPr>
        <w:t xml:space="preserve"> údaje o prevádzke (názov, adresa, popis, telefón, e-mail, web, fotografie, ceny, otváracie hodiny), údaje o predplatnom a fakturačné údaje.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Technické údaje:</w:t>
      </w:r>
      <w:r>
        <w:rPr>
          <w:rFonts w:ascii="Tahoma" w:cs="Tahoma" w:eastAsia="Tahoma" w:hAnsi="Tahoma"/>
          <w:b w:val="0"/>
          <w:bCs w:val="0"/>
          <w:color w:val="000000"/>
          <w:sz w:val="20"/>
          <w:szCs w:val="20"/>
        </w:rPr>
        <w:t xml:space="preserve"> IP adresa a údaje o prehliadači pri prístupe na platformu. Naša aplikácia IP adresu neukladá do databázy; krátkodobo ju používa len na ochranu pred zneužitím (obmedzenie počtu požiadaviek). Poskytovateľ hostingu môže viesť technické záznamy o prístupoch.</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Komunikácia:</w:t>
      </w:r>
      <w:r>
        <w:rPr>
          <w:rFonts w:ascii="Tahoma" w:cs="Tahoma" w:eastAsia="Tahoma" w:hAnsi="Tahoma"/>
          <w:b w:val="0"/>
          <w:bCs w:val="0"/>
          <w:color w:val="000000"/>
          <w:sz w:val="20"/>
          <w:szCs w:val="20"/>
        </w:rPr>
        <w:t xml:space="preserve"> správy, ktoré nám pošlete, a e-maily, ktoré Vám posielame (potvrdenie e-mailovej adresy, obnovenie hesla).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Osobné údaje získavame priamo od Vás. Poskytnutie údajov potrebných na registráciu (používateľské meno, e-mailová adresa, heslo) je zmluvnou požiadavkou; bez nich nie je možné vytvoriť účet. Osobitné kategórie osobných údajov nespracúvame.</w:t>
      </w:r>
    </w:p>
    <w:p>
      <w:pPr>
        <w:spacing w:after="0" w:before="0" w:line="240" w:lineRule="auto"/>
        <w:ind w:left="141"/>
      </w:pPr>
    </w:p>
    <w:p>
      <w:pPr>
        <w:pStyle w:val="Heading2"/>
        <w:keepNext w:val="1"/>
        <w:spacing w:after="80"/>
        <w:ind w:firstLine="141"/>
        <w:jc w:val="both"/>
        <w:rPr/>
      </w:pPr>
      <w:r>
        <w:t xml:space="preserve">Účely a právne základy spracúvania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vytvorenie a správa účtu, prihlasovanie a obnovenie hesla</w:t>
      </w:r>
      <w:r>
        <w:rPr>
          <w:rFonts w:ascii="Tahoma" w:cs="Tahoma" w:eastAsia="Tahoma" w:hAnsi="Tahoma"/>
          <w:b w:val="0"/>
          <w:bCs w:val="0"/>
          <w:color w:val="000000"/>
          <w:sz w:val="20"/>
          <w:szCs w:val="20"/>
        </w:rPr>
        <w:t xml:space="preserve"> – plnenie zmluvy podľa čl. 6 ods. 1 písm. b) GDPR,</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sprostredkovanie a správa rezervácií medzi zákazníkom a poskytovateľom</w:t>
      </w:r>
      <w:r>
        <w:rPr>
          <w:rFonts w:ascii="Tahoma" w:cs="Tahoma" w:eastAsia="Tahoma" w:hAnsi="Tahoma"/>
          <w:b w:val="0"/>
          <w:bCs w:val="0"/>
          <w:color w:val="000000"/>
          <w:sz w:val="20"/>
          <w:szCs w:val="20"/>
        </w:rPr>
        <w:t xml:space="preserve"> – plnenie zmluvy podľa čl. 6 ods. 1 písm. b) GDPR,</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zverejnenie prevádzok a poskytovanie predplatného poskytovateľom</w:t>
      </w:r>
      <w:r>
        <w:rPr>
          <w:rFonts w:ascii="Tahoma" w:cs="Tahoma" w:eastAsia="Tahoma" w:hAnsi="Tahoma"/>
          <w:b w:val="0"/>
          <w:bCs w:val="0"/>
          <w:color w:val="000000"/>
          <w:sz w:val="20"/>
          <w:szCs w:val="20"/>
        </w:rPr>
        <w:t xml:space="preserve"> – plnenie zmluvy podľa čl. 6 ods. 1 písm. b) GDPR; </w:t>
      </w:r>
      <w:r>
        <w:rPr>
          <w:rFonts w:ascii="Tahoma" w:cs="Tahoma" w:eastAsia="Tahoma" w:hAnsi="Tahoma"/>
          <w:b w:val="1"/>
          <w:bCs w:val="1"/>
          <w:color w:val="000000"/>
          <w:sz w:val="20"/>
          <w:szCs w:val="20"/>
        </w:rPr>
        <w:t xml:space="preserve">vedenie účtovníctva a archivácia faktúr</w:t>
      </w:r>
      <w:r>
        <w:rPr>
          <w:rFonts w:ascii="Tahoma" w:cs="Tahoma" w:eastAsia="Tahoma" w:hAnsi="Tahoma"/>
          <w:b w:val="0"/>
          <w:bCs w:val="0"/>
          <w:color w:val="000000"/>
          <w:sz w:val="20"/>
          <w:szCs w:val="20"/>
        </w:rPr>
        <w:t xml:space="preserve"> – plnenie zákonnej povinnosti podľa čl. 6 ods. 1 písm. c) GDPR a zákona č. 431/2002 Z. z. o účtovníctve,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overenie e-mailovej adresy, zabezpečenie platformy a predchádzanie podvodom a zneužitiu</w:t>
      </w:r>
      <w:r>
        <w:rPr>
          <w:rFonts w:ascii="Tahoma" w:cs="Tahoma" w:eastAsia="Tahoma" w:hAnsi="Tahoma"/>
          <w:b w:val="0"/>
          <w:bCs w:val="0"/>
          <w:color w:val="000000"/>
          <w:sz w:val="20"/>
          <w:szCs w:val="20"/>
        </w:rPr>
        <w:t xml:space="preserve"> – oprávnený záujem podľa čl. 6 ods. 1 písm. f) GDPR,</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zverejňovanie hodnotení a verejného profilu, moderovanie obsahu a vybavovanie nahlásení</w:t>
      </w:r>
      <w:r>
        <w:rPr>
          <w:rFonts w:ascii="Tahoma" w:cs="Tahoma" w:eastAsia="Tahoma" w:hAnsi="Tahoma"/>
          <w:b w:val="0"/>
          <w:bCs w:val="0"/>
          <w:color w:val="000000"/>
          <w:sz w:val="20"/>
          <w:szCs w:val="20"/>
        </w:rPr>
        <w:t xml:space="preserve"> – oprávnený záujem na dôveryhodných hodnoteniach a bezpečnom prostredí podľa čl. 6 ods. 1 písm. f) GDPR,</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vybavovanie Vašich otázok, žiadostí a reklamácií a uplatňovanie alebo obhajoba právnych nárokov</w:t>
      </w:r>
      <w:r>
        <w:rPr>
          <w:rFonts w:ascii="Tahoma" w:cs="Tahoma" w:eastAsia="Tahoma" w:hAnsi="Tahoma"/>
          <w:b w:val="0"/>
          <w:bCs w:val="0"/>
          <w:color w:val="000000"/>
          <w:sz w:val="20"/>
          <w:szCs w:val="20"/>
        </w:rPr>
        <w:t xml:space="preserve"> – plnenie zmluvy, resp. oprávnený záujem podľa čl. 6 ods. 1 písm. b) a f) GDPR.</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Obchodné ponuky ani newslettre Vám v súčasnosti neposielame. Posielame Vám len e-maily nevyhnutné na fungovanie účtu (potvrdenie e-mailovej adresy, obnovenie hesla) a odpovede na Vaše správy.</w:t>
      </w:r>
    </w:p>
    <w:p>
      <w:pPr>
        <w:spacing w:after="0" w:before="0" w:line="240" w:lineRule="auto"/>
        <w:ind w:left="141"/>
      </w:pPr>
    </w:p>
    <w:p>
      <w:pPr>
        <w:pStyle w:val="Heading2"/>
        <w:keepNext w:val="1"/>
        <w:spacing w:after="80"/>
        <w:ind w:firstLine="141"/>
        <w:jc w:val="both"/>
        <w:rPr/>
      </w:pPr>
      <w:r>
        <w:t xml:space="preserve">Kto má prístup k Vašim údajom</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Verejnosť:</w:t>
      </w:r>
      <w:r>
        <w:rPr>
          <w:rFonts w:ascii="Tahoma" w:cs="Tahoma" w:eastAsia="Tahoma" w:hAnsi="Tahoma"/>
          <w:b w:val="0"/>
          <w:bCs w:val="0"/>
          <w:color w:val="000000"/>
          <w:sz w:val="20"/>
          <w:szCs w:val="20"/>
        </w:rPr>
        <w:t xml:space="preserve"> pri hodnotení sa zobrazuje Vaše používateľské meno. Na Vašom verejnom profile sa zobrazuje používateľské meno, profilová fotografia, dátum registrácie, počet potvrdených pobytov a Vaše hodnotenia, pri poskytovateľoch aj typ balíka. Verejné sú aj údaje o prevádzkach vrátane kontaktov, ktoré zverejnil poskytovateľ.</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Poskytovatelia:</w:t>
      </w:r>
      <w:r>
        <w:rPr>
          <w:rFonts w:ascii="Tahoma" w:cs="Tahoma" w:eastAsia="Tahoma" w:hAnsi="Tahoma"/>
          <w:b w:val="0"/>
          <w:bCs w:val="0"/>
          <w:color w:val="000000"/>
          <w:sz w:val="20"/>
          <w:szCs w:val="20"/>
        </w:rPr>
        <w:t xml:space="preserve"> pri rezervácii dostane poskytovateľ Vaše používateľské meno, e-mailovú adresu a údaje o rezervácii. Tieto údaje spracúva ako samostatný prevádzkovateľ na účel vybavenia rezervácie.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Sprostredkovatelia:</w:t>
      </w:r>
      <w:r>
        <w:rPr>
          <w:rFonts w:ascii="Tahoma" w:cs="Tahoma" w:eastAsia="Tahoma" w:hAnsi="Tahoma"/>
          <w:b w:val="0"/>
          <w:bCs w:val="0"/>
          <w:color w:val="000000"/>
          <w:sz w:val="20"/>
          <w:szCs w:val="20"/>
        </w:rPr>
        <w:t xml:space="preserve"> Webglobe, s. r. o. – hosting webovej stránky a servera aplikácie a e-mailová schránka, z ktorej posielame e-maily (servery v Slovenskej a Českej republike); spracovateľ účtovníctva na základe zmluvy o poskytovaní účtovných služieb.</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Externé služby na stránke:</w:t>
      </w:r>
      <w:r>
        <w:rPr>
          <w:rFonts w:ascii="Tahoma" w:cs="Tahoma" w:eastAsia="Tahoma" w:hAnsi="Tahoma"/>
          <w:b w:val="0"/>
          <w:bCs w:val="0"/>
          <w:color w:val="000000"/>
          <w:sz w:val="20"/>
          <w:szCs w:val="20"/>
        </w:rPr>
        <w:t xml:space="preserve"> Google (Google Fonts – načítanie písma; Mapy Google – len ak kliknete na „Zobraziť mapu“ alebo otvoríte odkaz na mapu) a Cloudflare (cdnjs – načítanie ikon). Pri načítaní týchto súborov dostane ich poskytovateľ Vašu IP adresu a údaje o prehliadači.</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Orgány verejnej moci</w:t>
      </w:r>
      <w:r>
        <w:rPr>
          <w:rFonts w:ascii="Tahoma" w:cs="Tahoma" w:eastAsia="Tahoma" w:hAnsi="Tahoma"/>
          <w:b w:val="0"/>
          <w:bCs w:val="0"/>
          <w:color w:val="000000"/>
          <w:sz w:val="20"/>
          <w:szCs w:val="20"/>
        </w:rPr>
        <w:t xml:space="preserve">, ak nám to ukladá zákon.</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Sprostredkovatelia spracúvajú osobné údaje len podľa našich pokynov a na základe zmluvy podľa čl. 28 Nariadenia. Zoznam sprostredkovateľov sa môže v budúcnosti zmeniť; aktuálne znenie týchto zásad vždy zverejníme na platforme.</w:t>
      </w:r>
    </w:p>
    <w:p>
      <w:pPr>
        <w:spacing w:after="0" w:before="0" w:line="240" w:lineRule="auto"/>
        <w:ind w:left="141"/>
      </w:pPr>
    </w:p>
    <w:p>
      <w:pPr>
        <w:pStyle w:val="Heading2"/>
        <w:keepNext w:val="1"/>
        <w:spacing w:after="80"/>
        <w:ind w:firstLine="141"/>
        <w:jc w:val="both"/>
        <w:rPr/>
      </w:pPr>
      <w:r>
        <w:t xml:space="preserve">Zverejňovanie a prenos do tretích krajín</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Vaše osobné údaje nezverejňujeme inak, než je uvedené vyššie. Databázu, nahrané súbory a e-maily uchovávame na serveroch v Európskej únii.</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K prenosu údajov (najmä IP adresy) do USA môže dôjsť pri využití služieb Google a Cloudflare uvedených vyššie. Tieto spoločnosti sú certifikované v rámci rámca EÚ – USA pre ochranu osobných údajov (EU-U.S. Data Privacy Framework), na ktorý sa vzťahuje rozhodnutie Európskej komisie o primeranosti ochrany. Pri akomkoľvek prenose dbáme na to, aby prebiehal v súlade s Nariadením.</w:t>
      </w:r>
    </w:p>
    <w:p>
      <w:pPr>
        <w:spacing w:after="0" w:before="0" w:line="240" w:lineRule="auto"/>
        <w:ind w:left="141"/>
      </w:pPr>
    </w:p>
    <w:p>
      <w:pPr>
        <w:pStyle w:val="Heading2"/>
        <w:keepNext w:val="1"/>
        <w:spacing w:after="80"/>
        <w:ind w:firstLine="141"/>
        <w:jc w:val="both"/>
        <w:rPr/>
      </w:pPr>
      <w:r>
        <w:t xml:space="preserve">Doba uchovávania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údaje o účte, rezerváciách a hodnoteniach</w:t>
      </w:r>
      <w:r>
        <w:rPr>
          <w:rFonts w:ascii="Tahoma" w:cs="Tahoma" w:eastAsia="Tahoma" w:hAnsi="Tahoma"/>
          <w:b w:val="0"/>
          <w:bCs w:val="0"/>
          <w:color w:val="000000"/>
          <w:sz w:val="20"/>
          <w:szCs w:val="20"/>
        </w:rPr>
        <w:t xml:space="preserve"> – počas existencie účtu; po zrušení účtu ich vymažeme alebo anonymizujeme do 30 dní, okrem údajov potrebných na uplatnenie alebo obhajobu právnych nárokov, ktoré uchovávame najviac 3 roky,</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účtovné doklady poskytovateľov</w:t>
      </w:r>
      <w:r>
        <w:rPr>
          <w:rFonts w:ascii="Tahoma" w:cs="Tahoma" w:eastAsia="Tahoma" w:hAnsi="Tahoma"/>
          <w:b w:val="0"/>
          <w:bCs w:val="0"/>
          <w:color w:val="000000"/>
          <w:sz w:val="20"/>
          <w:szCs w:val="20"/>
        </w:rPr>
        <w:t xml:space="preserve"> – 10 rokov podľa zákona o účtovníctve,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odkazy na potvrdenie e-mailovej adresy a obnovenie hesla</w:t>
      </w:r>
      <w:r>
        <w:rPr>
          <w:rFonts w:ascii="Tahoma" w:cs="Tahoma" w:eastAsia="Tahoma" w:hAnsi="Tahoma"/>
          <w:b w:val="0"/>
          <w:bCs w:val="0"/>
          <w:color w:val="000000"/>
          <w:sz w:val="20"/>
          <w:szCs w:val="20"/>
        </w:rPr>
        <w:t xml:space="preserve"> – platia 48 hodín, resp. 60 minút, a po použití sa zneplatnia,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prihlásenie v prehliadači</w:t>
      </w:r>
      <w:r>
        <w:rPr>
          <w:rFonts w:ascii="Tahoma" w:cs="Tahoma" w:eastAsia="Tahoma" w:hAnsi="Tahoma"/>
          <w:b w:val="0"/>
          <w:bCs w:val="0"/>
          <w:color w:val="000000"/>
          <w:sz w:val="20"/>
          <w:szCs w:val="20"/>
        </w:rPr>
        <w:t xml:space="preserve"> – 14 dní alebo do odhlásenia,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1"/>
          <w:bCs w:val="1"/>
          <w:color w:val="000000"/>
          <w:sz w:val="20"/>
          <w:szCs w:val="20"/>
        </w:rPr>
        <w:t xml:space="preserve">technické záznamy poskytovateľa hostingu</w:t>
      </w:r>
      <w:r>
        <w:rPr>
          <w:rFonts w:ascii="Tahoma" w:cs="Tahoma" w:eastAsia="Tahoma" w:hAnsi="Tahoma"/>
          <w:b w:val="0"/>
          <w:bCs w:val="0"/>
          <w:color w:val="000000"/>
          <w:sz w:val="20"/>
          <w:szCs w:val="20"/>
        </w:rPr>
        <w:t xml:space="preserve"> – po dobu stanovenú poskytovateľom hostingu.</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Po uplynutí doby uchovávania osobné údaje vymažeme.</w:t>
      </w:r>
    </w:p>
    <w:p>
      <w:pPr>
        <w:spacing w:after="0" w:before="0" w:line="240" w:lineRule="auto"/>
        <w:ind w:left="141"/>
      </w:pPr>
    </w:p>
    <w:p>
      <w:pPr>
        <w:pStyle w:val="Heading2"/>
        <w:keepNext w:val="1"/>
        <w:spacing w:after="80"/>
        <w:ind w:firstLine="141"/>
        <w:jc w:val="both"/>
        <w:rPr/>
      </w:pPr>
      <w:r>
        <w:t xml:space="preserve">Práva dotknutých osôb</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Dotknutá osoba má, bez ohľadu na právny základ spracúvania osobných údajov, právo na prístup k osobným údajom, právo na ich opravu, vymazanie, obmedzenie spracúvania a právo podať sťažnosť dozornému orgánu, ktorým je Úrad na ochranu osobných údajov Slovenskej republiky, alebo právo podať návrh na začatie konania o ochrane osobných údajov.</w:t>
      </w:r>
    </w:p>
    <w:p>
      <w:pPr>
        <w:spacing w:after="0" w:before="0" w:line="240" w:lineRule="auto"/>
        <w:ind w:left="141"/>
      </w:pPr>
    </w:p>
    <w:p>
      <w:pPr>
        <w:pStyle w:val="Heading2"/>
        <w:keepNext w:val="1"/>
        <w:spacing w:after="80"/>
        <w:ind w:firstLine="141"/>
        <w:jc w:val="both"/>
        <w:rPr/>
      </w:pPr>
      <w:r>
        <w:t xml:space="preserve">Právo na prístup k osobným údajom</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Toto právo znamená, že ste oprávnení žiadať od nás potvrdenie o tom, či sa spracovávajú o vás osobné údaje, ktoré sa vás týkajú. Ak teda takéto osobné údaje o vás spracúvame máte právo získať prístup k svojim osobným údajom a informácie o tom:</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prečo spracúvame vaše osobné údaje (účel spracovania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aké údaje o vás spracúvame (kategória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komu môžu resp. budú vaše osobné údaje poskytnuté (identifikácia príjemcov alebo okruhu príjemcov)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ako dlho budeme vaše osobné údaje uchovávať (doba uchovávania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že máte právo požadovať od nás opravu osobných údajov, ich vymazanie ako aj obmedzenie ich spracovania alebo že máte možnosť namietať voči spracovaniu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že máte právo podať návrh na začatie konania o ochrane osobných údajov podľa Zákona alebo</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právo podať sťažnosť dozornému úradu podľa Nariadenia, ktorým je Úrad na ochranu osobných údajov SR</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odkiaľ pochádzajú vaše osobné údaje (informácie o zdroji), pokiaľ ste nám osobné údaje neposkytli priamo vy</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či využívame automatizované individuálne rozhodovanie vrátane profilovania podľa § 28 ods. 1 a 4 Zákona; najmä o použitom postupe, ako aj o význame a predpokladaných dôsledkoch takého spracúvania osobných údajov pre vás</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o primeraných zárukách týkajúcich sa prenosu, v prípade, ak vaše osobné údaje prenášame do tretej krajiny alebo medzinárodnej organizácie</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Toto právo na prístup pre vás znamená tiež možnosť získať osobné údaje, ktoré o vás spracúvame. Poskytneme vám kópiu vašich osobných údajov, ktoré o vás spracúvame. Pokiaľ však budete žiadať opakovane o poskytnutie svojich osobných údajov, môžeme od vás žiadať primeraný administratívny poplatok v súvislosti s vašou žiadosťou o kópiu svojich osobných údajov.</w:t>
      </w:r>
    </w:p>
    <w:p>
      <w:pPr>
        <w:spacing w:after="0" w:before="0" w:line="240" w:lineRule="auto"/>
        <w:ind w:left="141"/>
      </w:pPr>
    </w:p>
    <w:p>
      <w:pPr>
        <w:pStyle w:val="Heading2"/>
        <w:keepNext w:val="1"/>
        <w:spacing w:after="80"/>
        <w:ind w:firstLine="141"/>
        <w:jc w:val="both"/>
        <w:rPr/>
      </w:pPr>
      <w:r>
        <w:t xml:space="preserve">Právo na opravu osobných údajov</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 rámci podmienok poskytovania našich služieb vás informujeme, aby ste nám poskytovali správne údaje. Ak sa však napriek tomu stane, že spracúvame o Vás nesprávne údaje, právo na opravu osobných údajov znamená, že ste oprávnení žiadať, aby sme opravili nesprávne osobné údaje, ktoré sa Vás týkajú. Taktiež so zreteľom na účel spracovania osobných údajov máte právo aj na to, aby boli doplnené vaše neúplné osobné údaje.</w:t>
      </w:r>
    </w:p>
    <w:p>
      <w:pPr>
        <w:spacing w:after="0" w:before="0" w:line="240" w:lineRule="auto"/>
        <w:ind w:left="141"/>
      </w:pPr>
    </w:p>
    <w:p>
      <w:pPr>
        <w:pStyle w:val="Heading2"/>
        <w:keepNext w:val="1"/>
        <w:spacing w:after="80"/>
        <w:ind w:firstLine="141"/>
        <w:jc w:val="both"/>
        <w:rPr/>
      </w:pPr>
      <w:r>
        <w:t xml:space="preserve">Právo na výmaz osobných údajov (právo na zabudnutie)</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Máte právo na to, aby sme vymazali osobné údaje, ktoré sa vás týkajú a zároveň je splnený aspoň jeden z nasledovných dôvodov: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vaše osobné údaje už nie sú potrebné na účel, na ktorý sme ich získali alebo inak spracúvali</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odvolali ste svoj súhlas so spracovaním osobných údajov, na základe ktorého my spracúvame vaše osobné údaje a zároveň neexistuje iný právny základ pre ich ďalšie spracúvanie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namietate voči spracúvaniu osobných údajov, ktoré je vykonávané na právnom základe verejného záujmu alebo oprávneného záujmu a neprevažujú žiadne oprávnené dôvody na ich spracúvanie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vaše osobné údaje sa spracúvali nezákonne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vaše osobné údaje musia byť vymazané, nakoľko je nutné splniť povinnosť podľa práva Slovenskej republiky alebo práva Európskej únie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vaše osobné údaje sa získavali v súvislosti s ponukou služieb informačnej spoločnosti podľa § 15 ods. 1 Zákona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Vášmu právu na výmaz osobných údajov však v konkrétnom prípadne s ohľadom na konkrétne okolnosti nemusí byť vyhovené, pokiaľ je spracovanie osobných údajov potrebné na: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na uplatnenie nášho práva na slobodu prejavu alebo práva na informácie</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na splnenie zákonnej povinnosti</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na uplatnenie nášho právneho nároku</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na účel archivácie, na účel historického výskumu alebo na štatistický účel, pokiaľ je pravdepodobné, že právo na výmaz by nám znemožnilo alebo závažným spôsobom sťažilo dosiahnutie cieľov takého spracúvania</w:t>
      </w:r>
    </w:p>
    <w:p>
      <w:pPr>
        <w:spacing w:after="0" w:before="0" w:line="240" w:lineRule="auto"/>
        <w:ind w:left="141"/>
      </w:pPr>
    </w:p>
    <w:p>
      <w:pPr>
        <w:pStyle w:val="Heading2"/>
        <w:keepNext w:val="1"/>
        <w:spacing w:after="80"/>
        <w:ind w:firstLine="141"/>
        <w:jc w:val="both"/>
        <w:rPr/>
      </w:pPr>
      <w:r>
        <w:t xml:space="preserve">Právo na obmedzenie spracúvania osobných údajov</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Máte právo na to, aby sme obmedzili spracúvanie osobných údajov, ktoré sa vás týkajú a zároveň je splnený aspoň jeden z nasledovných dôvodov: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počas obdobia umožňujúceho nám overenie správnosti vašich osobných údajov, napadnete správnosť svojich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pôjde o nezákonné spracúvanie osobných údajov, namietnete výmaz osobných údajov a budete žiadať namiesto výmazu obmedzenie spracúvania osobných údajov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my už nebudeme potrebovať vaše osobné údaje na žiadny z účelov spracúvania, alebo budete ich potrebovať vy na preukázanie, uplatňovanie alebo obhajovanie svojich právnych nárokov</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budete namietať voči spracúvaniu osobných údajov a to až do doby overenia, či naše oprávnené záujmy prevažujú nad vašimi oprávnenými záujmami</w:t>
      </w:r>
    </w:p>
    <w:p>
      <w:pPr>
        <w:spacing w:after="0" w:before="0" w:line="240" w:lineRule="auto"/>
        <w:ind w:left="141"/>
      </w:pPr>
    </w:p>
    <w:p>
      <w:pPr>
        <w:pStyle w:val="Heading2"/>
        <w:keepNext w:val="1"/>
        <w:spacing w:after="80"/>
        <w:ind w:firstLine="141"/>
        <w:jc w:val="both"/>
        <w:rPr/>
      </w:pPr>
      <w:r>
        <w:t xml:space="preserve">Právo na prenosnosť osobných údajov</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Ak je naše právo na spracúvanie vašich osobných údajov založené na vašom súhlase alebo na plnení záväzkov vyplývajúcich zo zmluvy, ktorú sme s vami uzatvorili, máte právo požiadať o prenos údajov, ktoré sa vás týkajú a ktoré ste nám poskytli, inému prevádzkovateľovi osobných údajov.</w:t>
      </w:r>
    </w:p>
    <w:p>
      <w:pPr>
        <w:spacing w:after="0" w:before="0" w:line="240" w:lineRule="auto"/>
        <w:ind w:left="141"/>
      </w:pPr>
    </w:p>
    <w:p>
      <w:pPr>
        <w:pStyle w:val="Heading2"/>
        <w:keepNext w:val="1"/>
        <w:spacing w:after="80"/>
        <w:ind w:firstLine="141"/>
        <w:jc w:val="both"/>
        <w:rPr/>
      </w:pPr>
      <w:r>
        <w:t xml:space="preserve">Právo na odvolanie súhlasu</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Pokiaľ spracúvame vaše osobné údaje na právnom základe – súhlas dotknutej osoby, máte právo kedykoľvek odvolať tento súhlas a to aj pred uplynutím doby, na ktorú bol tento súhlas udelený. Odvolanie súhlasu nemá vplyv na zákonnosť spracúvania vychádzajúceho zo súhlasu pred jeho odvolaním.</w:t>
      </w:r>
    </w:p>
    <w:p>
      <w:pPr>
        <w:spacing w:after="0" w:before="0" w:line="240" w:lineRule="auto"/>
        <w:ind w:left="141"/>
      </w:pPr>
    </w:p>
    <w:p>
      <w:pPr>
        <w:pStyle w:val="Heading2"/>
        <w:keepNext w:val="1"/>
        <w:spacing w:after="80"/>
        <w:ind w:firstLine="141"/>
        <w:jc w:val="both"/>
        <w:rPr/>
      </w:pPr>
      <w:r>
        <w:t xml:space="preserve">Právo namietať</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Ak máte na to dôvody týkajúce sa vašej konkrétnej situácie, máte právo namietať proti spracúvaniu vašich osobných údajov, ak je právnym základom pre také spracúvanie náš oprávnený záujem. Ak však náš oprávnený záujem na spracúvanie prevyšuje nad vašim osobným záujmom, môžeme pokračovať v spracúvaní vašich údajov, a to aj napriek vašej námietke voči spracúvaniu. Taktiež sme oprávnení pokračovať v spracovaní vašich údajov, v prípade ak je to potrebné pre preukazovanie, uplatňovanie alebo obhajovanie našich právnych nárokov.</w:t>
      </w:r>
    </w:p>
    <w:p>
      <w:pPr>
        <w:spacing w:after="0" w:before="0" w:line="240" w:lineRule="auto"/>
        <w:ind w:left="141"/>
      </w:pPr>
    </w:p>
    <w:p>
      <w:pPr>
        <w:pStyle w:val="Heading2"/>
        <w:keepNext w:val="1"/>
        <w:spacing w:after="80"/>
        <w:ind w:firstLine="141"/>
        <w:jc w:val="both"/>
        <w:rPr/>
      </w:pPr>
      <w:r>
        <w:t xml:space="preserve">Ako si uplatniť práva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Vaše vyššie uvedené práva si môžete uplatniť e-mailom na info@rezervujto.sk. Používateľské meno, e-mailovú adresu, profilovú fotografiu a heslo si môžete opraviť aj sami v nastaveniach účtu. O zrušenie účtu a vymazanie údajov nás požiadajte e-mailom zaslaným z adresy priradenej k Vášmu účtu.</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Prosím uveďte vo Vašej žiadosti vaše meno, priezvisko, e-mailovú adresu, prípadne adresu trvalého bydliska. Ak nám uvedené údaje neposkytnete, nebude možné vyhovieť vašej žiadosti. Tieto informácie od vás požadujeme preto, aby sme si overili vašu totožnosť a neposkytli Vaše osobné údaje neoprávnenej osobe.</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 prípade, ak ako dotknutá osoba nemáte spôsobilosť na právne úkony v plnom rozsahu, vaše práva v zmysle Nariadenia a Zákona môže uplatniť váš zákonný zástupca. Práva dotknutej osoby, ktorá nežije môže v zmysle Nariadenia a Zákona uplatniť blízka osoba. Pokiaľ sú vaše žiadosti ako dotknutej osoby zjavne neopodstatnené alebo neprimerané, najmä pre ich opakujúcu sa povahu, môžeme požadovať primeraný poplatok zohľadňujúci administratívne náklady na poskytnutie informácií alebo odmietnuť konať na základe žiadosti.</w:t>
      </w:r>
    </w:p>
    <w:p>
      <w:pPr>
        <w:spacing w:after="0" w:before="0" w:line="240" w:lineRule="auto"/>
        <w:ind w:left="141"/>
      </w:pPr>
    </w:p>
    <w:p>
      <w:pPr>
        <w:pStyle w:val="Heading2"/>
        <w:keepNext w:val="1"/>
        <w:spacing w:after="80"/>
        <w:ind w:firstLine="141"/>
        <w:jc w:val="both"/>
        <w:rPr/>
      </w:pPr>
      <w:r>
        <w:t xml:space="preserve">Výmaz osobných údajov</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Na základe Vašej žiadosti alebo po uplynutí doby uchovávania vymažeme Vaše osobné údaje z informačného systému platformy, ak ich nemusíme ďalej uchovávať podľa zákona alebo na uplatnenie či obhajobu právnych nárokov.</w:t>
      </w:r>
    </w:p>
    <w:p>
      <w:pPr>
        <w:spacing w:after="0" w:before="0" w:line="240" w:lineRule="auto"/>
        <w:ind w:left="141"/>
      </w:pPr>
    </w:p>
    <w:p>
      <w:pPr>
        <w:pStyle w:val="Heading2"/>
        <w:keepNext w:val="1"/>
        <w:spacing w:after="80"/>
        <w:ind w:firstLine="141"/>
        <w:jc w:val="both"/>
        <w:rPr/>
      </w:pPr>
      <w:r>
        <w:t xml:space="preserve">Zodpovedná osoba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Prevádzkovateľ nemá určenú zodpovednú osobu.</w:t>
      </w:r>
    </w:p>
    <w:p>
      <w:pPr>
        <w:spacing w:after="0" w:before="0" w:line="240" w:lineRule="auto"/>
        <w:ind w:left="141"/>
      </w:pPr>
    </w:p>
    <w:p>
      <w:pPr>
        <w:pStyle w:val="Heading2"/>
        <w:keepNext w:val="1"/>
        <w:spacing w:after="80"/>
        <w:ind w:firstLine="141"/>
        <w:jc w:val="both"/>
        <w:rPr/>
      </w:pPr>
      <w:r>
        <w:t xml:space="preserve">Profilovanie a automatizované rozhodovanie</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Vaše osobné údaje nepodliehajú automatizovanému rozhodovaniu ani profilovaniu. Poradie prevádzok vo výsledkoch vyhľadávania nezávisí od Vašej osoby.</w:t>
      </w:r>
    </w:p>
    <w:p>
      <w:pPr>
        <w:spacing w:after="0" w:before="0" w:line="240" w:lineRule="auto"/>
        <w:ind w:left="141"/>
      </w:pPr>
    </w:p>
    <w:p>
      <w:pPr>
        <w:pStyle w:val="Heading2"/>
        <w:keepNext w:val="1"/>
        <w:spacing w:after="80"/>
        <w:ind w:firstLine="141"/>
        <w:jc w:val="both"/>
        <w:rPr/>
      </w:pPr>
      <w:r>
        <w:t xml:space="preserve">Bezpečnosť</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Dosiahnutie najvyššej možnej ochrany osobných údajov našich klientov je pre nás vysokou prioritou a okrem existujúcich obchodných cieľov bude tejto oblasti venovaná zvýšená pozornosť. Opatrenia technickej a organizačnej povahy, ktoré použijeme, budú starostlivo vybrané vzhľadom na rozsah spracovania osobných údajov a na naše technické a personálne možnosti, ale vždy takým spôsobom, aby tieto prostriedky boli maximálne efektívne a aby bolo učinené zadosť platnej a účinnej právnej úprave v SR a EÚ.</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Komunikácia s platformou je šifrovaná (HTTPS), heslá neukladáme v čitateľnej podobe, odkazy na potvrdenie e-mailovej adresy a obnovenie hesla sú jednorazové a časovo obmedzené, zmena e-mailovej adresy alebo hesla vyžaduje zadanie aktuálneho hesla a počet požiadaviek na server je obmedzený.</w:t>
      </w:r>
    </w:p>
    <w:p>
      <w:pPr>
        <w:spacing w:after="0" w:before="0" w:line="240" w:lineRule="auto"/>
        <w:ind w:left="141"/>
      </w:pPr>
    </w:p>
    <w:p>
      <w:pPr>
        <w:pStyle w:val="Heading2"/>
        <w:keepNext w:val="1"/>
        <w:spacing w:after="80"/>
        <w:ind w:firstLine="141"/>
        <w:jc w:val="both"/>
        <w:rPr/>
      </w:pPr>
      <w:r>
        <w:t xml:space="preserve">Cookies a úložisko prehliadača</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Naša platforma </w:t>
      </w:r>
      <w:r>
        <w:rPr>
          <w:rFonts w:ascii="Tahoma" w:cs="Tahoma" w:eastAsia="Tahoma" w:hAnsi="Tahoma"/>
          <w:b w:val="1"/>
          <w:bCs w:val="1"/>
          <w:color w:val="000000"/>
          <w:sz w:val="20"/>
          <w:szCs w:val="20"/>
        </w:rPr>
        <w:t xml:space="preserve">nepoužíva analytické ani reklamné cookies</w:t>
      </w:r>
      <w:r>
        <w:rPr>
          <w:rFonts w:ascii="Tahoma" w:cs="Tahoma" w:eastAsia="Tahoma" w:hAnsi="Tahoma"/>
          <w:b w:val="0"/>
          <w:bCs w:val="0"/>
          <w:color w:val="000000"/>
          <w:sz w:val="20"/>
          <w:szCs w:val="20"/>
        </w:rPr>
        <w:t xml:space="preserve"> a nepoužíva nástroje ako Google Analytics, Google AdSense či Facebook Pixel. Server platformy do Vášho prehliadača neukladá žiadne cookies.</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Na fungovanie platformy používame úložisko Vášho prehliadača (localStorage a sessionStorage), ktoré funguje podobne ako cookies. Ukladáme doň:</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prihlasovacie údaje relácie, aby ste zostali prihlásení (do odhlásenia),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zvolený jazyk,</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informáciu, že sa Vám v rámci návštevy už zobrazila úvodná animácia (do zatvorenia prehliadača),</w:t>
      </w:r>
    </w:p>
    <w:p>
      <w:pPr>
        <w:widowControl w:val="0"/>
        <w:numPr>
          <w:ilvl w:val="0"/>
          <w:numId w:val="6"/>
        </w:numPr>
        <w:tabs>
          <w:tab w:val="left" w:leader="none" w:pos="861"/>
        </w:tabs>
        <w:spacing w:after="40" w:before="0" w:line="276" w:lineRule="auto"/>
        <w:ind w:left="861" w:right="20" w:hanging="360"/>
        <w:jc w:val="both"/>
      </w:pPr>
      <w:r>
        <w:rPr>
          <w:rFonts w:ascii="Tahoma" w:cs="Tahoma" w:eastAsia="Tahoma" w:hAnsi="Tahoma"/>
          <w:b w:val="0"/>
          <w:bCs w:val="0"/>
          <w:color w:val="000000"/>
          <w:sz w:val="20"/>
          <w:szCs w:val="20"/>
        </w:rPr>
        <w:t xml:space="preserve">pomocný údaj o stránke, na ktorú Vás máme presmerovať po registrácii alebo prihlásení.</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Tieto údaje sú nevyhnutné na poskytnutie služby, o ktorú žiadate, preto na ich uloženie nepotrebujeme Váš súhlas (§ 109 ods. 8 zákona č. 452/2021 Z. z. o elektronických komunikáciách). Odstránite ich odhlásením alebo vymazaním údajov stránky v nastaveniach prehliadača.</w:t>
      </w:r>
    </w:p>
    <w:p>
      <w:pPr>
        <w:spacing w:after="0" w:before="0" w:line="240" w:lineRule="auto"/>
        <w:ind w:left="141"/>
      </w:pPr>
    </w:p>
    <w:p>
      <w:pPr>
        <w:pStyle w:val="Heading2"/>
        <w:keepNext w:val="1"/>
        <w:spacing w:after="80"/>
        <w:ind w:firstLine="141"/>
        <w:jc w:val="both"/>
        <w:rPr/>
      </w:pPr>
      <w:r>
        <w:t xml:space="preserve">Služby tretích strán</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Písmo načítavame zo služby Google Fonts a ikony zo služby cdnjs (Cloudflare). Mapa Google sa na stránke prevádzky načíta až po kliknutí na „Zobraziť mapu“; potom môže spoločnosť Google ukladať vlastné cookies podľa svojich zásad ochrany súkromia. Ak mapu nenačítate, Google cez našu stránku cookies neukladá.</w:t>
      </w:r>
    </w:p>
    <w:p>
      <w:pPr>
        <w:spacing w:after="0" w:before="0" w:line="240" w:lineRule="auto"/>
        <w:ind w:left="141"/>
      </w:pPr>
    </w:p>
    <w:p>
      <w:pPr>
        <w:pStyle w:val="Heading2"/>
        <w:keepNext w:val="1"/>
        <w:spacing w:after="80"/>
        <w:ind w:firstLine="141"/>
        <w:jc w:val="both"/>
        <w:rPr/>
      </w:pPr>
      <w:r>
        <w:t xml:space="preserve">Ako môžem obmedziť ukladanie údajov v prehliadači?</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V nastaveniach prehliadača môžete cookies a údaje stránok zakázať alebo vymazať. Ak zakážete úložisko prehliadača, nebudete sa môcť na platforme prihlásiť.</w:t>
      </w:r>
    </w:p>
    <w:p>
      <w:pPr>
        <w:spacing w:after="0" w:before="0" w:line="240" w:lineRule="auto"/>
        <w:ind w:left="141"/>
      </w:pPr>
    </w:p>
    <w:p>
      <w:pPr>
        <w:pStyle w:val="Heading2"/>
        <w:keepNext w:val="1"/>
        <w:spacing w:after="80"/>
        <w:ind w:firstLine="141"/>
        <w:jc w:val="both"/>
        <w:rPr/>
      </w:pPr>
      <w:r>
        <w:t xml:space="preserve">Ako podať sťažnosť?</w:t>
      </w:r>
    </w:p>
    <w:p>
      <w:pPr>
        <w:widowControl w:val="0"/>
        <w:spacing w:after="100" w:before="0" w:line="276" w:lineRule="auto"/>
        <w:ind w:left="141" w:right="20" w:firstLine="0"/>
        <w:jc w:val="both"/>
      </w:pPr>
      <w:r>
        <w:rPr>
          <w:rFonts w:ascii="Tahoma" w:cs="Tahoma" w:eastAsia="Tahoma" w:hAnsi="Tahoma"/>
          <w:b w:val="0"/>
          <w:bCs w:val="0"/>
          <w:color w:val="000000"/>
          <w:sz w:val="20"/>
          <w:szCs w:val="20"/>
        </w:rPr>
        <w:t xml:space="preserve">Ako dotknutá osoba máte právo podať sťažnosť dozornému orgánu, ktorým je Úrad na ochranu osobných údajov Slovenskej republiky, so sídlom Hraničná 12, 820 07 Bratislava, tel. č. 02/323 132 14, email: statny.dozor@pdp.gov.sk, pri podozrení, že sa vaše osobné údaje spracúvajú v rozpore s platnou legislatívou.</w:t>
      </w:r>
    </w:p>
    <w:p>
      <w:pPr>
        <w:spacing w:after="0" w:before="0" w:line="240" w:lineRule="auto"/>
        <w:ind w:left="141"/>
      </w:pPr>
    </w:p>
    <w:p>
      <w:pPr>
        <w:widowControl w:val="0"/>
        <w:spacing w:after="100" w:before="0" w:line="276" w:lineRule="auto"/>
        <w:ind w:left="141" w:right="20" w:firstLine="0"/>
        <w:jc w:val="both"/>
      </w:pPr>
      <w:r>
        <w:rPr>
          <w:rFonts w:ascii="Tahoma" w:cs="Tahoma" w:eastAsia="Tahoma" w:hAnsi="Tahoma"/>
          <w:b w:val="1"/>
          <w:bCs w:val="1"/>
          <w:color w:val="000000"/>
          <w:sz w:val="20"/>
          <w:szCs w:val="20"/>
        </w:rPr>
        <w:t xml:space="preserve">Tieto zásady nadobúdajú platnosť a účinnosť dňom 1. 11. 2026 a nahrádzajú znenie účinné od 1. 1. 2026.</w:t>
      </w:r>
    </w:p>
    <w:sectPr>
      <w:type w:val="nextPage"/>
      <w:pgSz w:h="16840" w:w="11920" w:orient="portrait"/>
      <w:pgMar w:bottom="280" w:top="1340" w:left="1275" w:right="1417"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2272" w:hanging="360"/>
      </w:pPr>
      <w:rPr>
        <w:rFonts w:ascii="Helvetica Neue" w:cs="Helvetica Neue" w:eastAsia="Helvetica Neue" w:hAnsi="Helvetica Neue"/>
        <w:b w:val="0"/>
        <w:bCs w:val="0"/>
        <w:i w:val="0"/>
        <w:iCs w:val="0"/>
        <w:sz w:val="20"/>
        <w:szCs w:val="20"/>
      </w:rPr>
    </w:lvl>
    <w:lvl w:ilvl="1">
      <w:start w:val="0"/>
      <w:numFmt w:val="bullet"/>
      <w:lvlText w:val="•"/>
      <w:lvlJc w:val="left"/>
      <w:pPr>
        <w:ind w:left="2974" w:hanging="360"/>
      </w:pPr>
      <w:rPr/>
    </w:lvl>
    <w:lvl w:ilvl="2">
      <w:start w:val="0"/>
      <w:numFmt w:val="bullet"/>
      <w:lvlText w:val="•"/>
      <w:lvlJc w:val="left"/>
      <w:pPr>
        <w:ind w:left="3669" w:hanging="360"/>
      </w:pPr>
      <w:rPr/>
    </w:lvl>
    <w:lvl w:ilvl="3">
      <w:start w:val="0"/>
      <w:numFmt w:val="bullet"/>
      <w:lvlText w:val="•"/>
      <w:lvlJc w:val="left"/>
      <w:pPr>
        <w:ind w:left="4364" w:hanging="360"/>
      </w:pPr>
      <w:rPr/>
    </w:lvl>
    <w:lvl w:ilvl="4">
      <w:start w:val="0"/>
      <w:numFmt w:val="bullet"/>
      <w:lvlText w:val="•"/>
      <w:lvlJc w:val="left"/>
      <w:pPr>
        <w:ind w:left="5059" w:hanging="360"/>
      </w:pPr>
      <w:rPr/>
    </w:lvl>
    <w:lvl w:ilvl="5">
      <w:start w:val="0"/>
      <w:numFmt w:val="bullet"/>
      <w:lvlText w:val="•"/>
      <w:lvlJc w:val="left"/>
      <w:pPr>
        <w:ind w:left="5754" w:hanging="360"/>
      </w:pPr>
      <w:rPr/>
    </w:lvl>
    <w:lvl w:ilvl="6">
      <w:start w:val="0"/>
      <w:numFmt w:val="bullet"/>
      <w:lvlText w:val="•"/>
      <w:lvlJc w:val="left"/>
      <w:pPr>
        <w:ind w:left="6448" w:hanging="360"/>
      </w:pPr>
      <w:rPr/>
    </w:lvl>
    <w:lvl w:ilvl="7">
      <w:start w:val="0"/>
      <w:numFmt w:val="bullet"/>
      <w:lvlText w:val="•"/>
      <w:lvlJc w:val="left"/>
      <w:pPr>
        <w:ind w:left="7143" w:hanging="360"/>
      </w:pPr>
      <w:rPr/>
    </w:lvl>
    <w:lvl w:ilvl="8">
      <w:start w:val="0"/>
      <w:numFmt w:val="bullet"/>
      <w:lvlText w:val="•"/>
      <w:lvlJc w:val="left"/>
      <w:pPr>
        <w:ind w:left="7838" w:hanging="360"/>
      </w:pPr>
      <w:rPr/>
    </w:lvl>
  </w:abstractNum>
  <w:abstractNum w:abstractNumId="2">
    <w:lvl w:ilvl="0">
      <w:start w:val="0"/>
      <w:numFmt w:val="bullet"/>
      <w:lvlText w:val="●"/>
      <w:lvlJc w:val="left"/>
      <w:pPr>
        <w:ind w:left="862" w:hanging="360"/>
      </w:pPr>
      <w:rPr>
        <w:rFonts w:ascii="Helvetica Neue" w:cs="Helvetica Neue" w:eastAsia="Helvetica Neue" w:hAnsi="Helvetica Neue"/>
        <w:b w:val="0"/>
        <w:bCs w:val="0"/>
        <w:i w:val="0"/>
        <w:iCs w:val="0"/>
        <w:sz w:val="20"/>
        <w:szCs w:val="20"/>
      </w:rPr>
    </w:lvl>
    <w:lvl w:ilvl="1">
      <w:start w:val="0"/>
      <w:numFmt w:val="bullet"/>
      <w:lvlText w:val="•"/>
      <w:lvlJc w:val="left"/>
      <w:pPr>
        <w:ind w:left="1696" w:hanging="360"/>
      </w:pPr>
      <w:rPr/>
    </w:lvl>
    <w:lvl w:ilvl="2">
      <w:start w:val="0"/>
      <w:numFmt w:val="bullet"/>
      <w:lvlText w:val="•"/>
      <w:lvlJc w:val="left"/>
      <w:pPr>
        <w:ind w:left="2533" w:hanging="360"/>
      </w:pPr>
      <w:rPr/>
    </w:lvl>
    <w:lvl w:ilvl="3">
      <w:start w:val="0"/>
      <w:numFmt w:val="bullet"/>
      <w:lvlText w:val="•"/>
      <w:lvlJc w:val="left"/>
      <w:pPr>
        <w:ind w:left="3370" w:hanging="360"/>
      </w:pPr>
      <w:rPr/>
    </w:lvl>
    <w:lvl w:ilvl="4">
      <w:start w:val="0"/>
      <w:numFmt w:val="bullet"/>
      <w:lvlText w:val="•"/>
      <w:lvlJc w:val="left"/>
      <w:pPr>
        <w:ind w:left="4207" w:hanging="360"/>
      </w:pPr>
      <w:rPr/>
    </w:lvl>
    <w:lvl w:ilvl="5">
      <w:start w:val="0"/>
      <w:numFmt w:val="bullet"/>
      <w:lvlText w:val="•"/>
      <w:lvlJc w:val="left"/>
      <w:pPr>
        <w:ind w:left="5044" w:hanging="360"/>
      </w:pPr>
      <w:rPr/>
    </w:lvl>
    <w:lvl w:ilvl="6">
      <w:start w:val="0"/>
      <w:numFmt w:val="bullet"/>
      <w:lvlText w:val="•"/>
      <w:lvlJc w:val="left"/>
      <w:pPr>
        <w:ind w:left="5880" w:hanging="360"/>
      </w:pPr>
      <w:rPr/>
    </w:lvl>
    <w:lvl w:ilvl="7">
      <w:start w:val="0"/>
      <w:numFmt w:val="bullet"/>
      <w:lvlText w:val="•"/>
      <w:lvlJc w:val="left"/>
      <w:pPr>
        <w:ind w:left="6717" w:hanging="360"/>
      </w:pPr>
      <w:rPr/>
    </w:lvl>
    <w:lvl w:ilvl="8">
      <w:start w:val="0"/>
      <w:numFmt w:val="bullet"/>
      <w:lvlText w:val="•"/>
      <w:lvlJc w:val="left"/>
      <w:pPr>
        <w:ind w:left="7554" w:hanging="360"/>
      </w:pPr>
      <w:rPr/>
    </w:lvl>
  </w:abstractNum>
  <w:abstractNum w:abstractNumId="3">
    <w:lvl w:ilvl="0">
      <w:start w:val="0"/>
      <w:numFmt w:val="bullet"/>
      <w:lvlText w:val="●"/>
      <w:lvlJc w:val="left"/>
      <w:pPr>
        <w:ind w:left="862" w:hanging="360"/>
      </w:pPr>
      <w:rPr>
        <w:rFonts w:ascii="Helvetica Neue" w:cs="Helvetica Neue" w:eastAsia="Helvetica Neue" w:hAnsi="Helvetica Neue"/>
        <w:b w:val="0"/>
        <w:bCs w:val="0"/>
        <w:i w:val="0"/>
        <w:iCs w:val="0"/>
        <w:sz w:val="20"/>
        <w:szCs w:val="20"/>
      </w:rPr>
    </w:lvl>
    <w:lvl w:ilvl="1">
      <w:start w:val="0"/>
      <w:numFmt w:val="bullet"/>
      <w:lvlText w:val="•"/>
      <w:lvlJc w:val="left"/>
      <w:pPr>
        <w:ind w:left="1696" w:hanging="360"/>
      </w:pPr>
      <w:rPr/>
    </w:lvl>
    <w:lvl w:ilvl="2">
      <w:start w:val="0"/>
      <w:numFmt w:val="bullet"/>
      <w:lvlText w:val="•"/>
      <w:lvlJc w:val="left"/>
      <w:pPr>
        <w:ind w:left="2533" w:hanging="360"/>
      </w:pPr>
      <w:rPr/>
    </w:lvl>
    <w:lvl w:ilvl="3">
      <w:start w:val="0"/>
      <w:numFmt w:val="bullet"/>
      <w:lvlText w:val="•"/>
      <w:lvlJc w:val="left"/>
      <w:pPr>
        <w:ind w:left="3370" w:hanging="360"/>
      </w:pPr>
      <w:rPr/>
    </w:lvl>
    <w:lvl w:ilvl="4">
      <w:start w:val="0"/>
      <w:numFmt w:val="bullet"/>
      <w:lvlText w:val="•"/>
      <w:lvlJc w:val="left"/>
      <w:pPr>
        <w:ind w:left="4207" w:hanging="360"/>
      </w:pPr>
      <w:rPr/>
    </w:lvl>
    <w:lvl w:ilvl="5">
      <w:start w:val="0"/>
      <w:numFmt w:val="bullet"/>
      <w:lvlText w:val="•"/>
      <w:lvlJc w:val="left"/>
      <w:pPr>
        <w:ind w:left="5044" w:hanging="360"/>
      </w:pPr>
      <w:rPr/>
    </w:lvl>
    <w:lvl w:ilvl="6">
      <w:start w:val="0"/>
      <w:numFmt w:val="bullet"/>
      <w:lvlText w:val="•"/>
      <w:lvlJc w:val="left"/>
      <w:pPr>
        <w:ind w:left="5880" w:hanging="360"/>
      </w:pPr>
      <w:rPr/>
    </w:lvl>
    <w:lvl w:ilvl="7">
      <w:start w:val="0"/>
      <w:numFmt w:val="bullet"/>
      <w:lvlText w:val="•"/>
      <w:lvlJc w:val="left"/>
      <w:pPr>
        <w:ind w:left="6717" w:hanging="360"/>
      </w:pPr>
      <w:rPr/>
    </w:lvl>
    <w:lvl w:ilvl="8">
      <w:start w:val="0"/>
      <w:numFmt w:val="bullet"/>
      <w:lvlText w:val="•"/>
      <w:lvlJc w:val="left"/>
      <w:pPr>
        <w:ind w:left="7554" w:hanging="360"/>
      </w:pPr>
      <w:rPr/>
    </w:lvl>
  </w:abstractNum>
  <w:abstractNum w:abstractNumId="4">
    <w:lvl w:ilvl="0">
      <w:start w:val="0"/>
      <w:numFmt w:val="bullet"/>
      <w:lvlText w:val="-"/>
      <w:lvlJc w:val="left"/>
      <w:pPr>
        <w:ind w:left="1582" w:hanging="360"/>
      </w:pPr>
      <w:rPr>
        <w:rFonts w:ascii="Tahoma" w:cs="Tahoma" w:eastAsia="Tahoma" w:hAnsi="Tahoma"/>
        <w:b w:val="0"/>
        <w:bCs w:val="0"/>
        <w:i w:val="0"/>
        <w:iCs w:val="0"/>
        <w:sz w:val="20"/>
        <w:szCs w:val="20"/>
      </w:rPr>
    </w:lvl>
    <w:lvl w:ilvl="1">
      <w:start w:val="0"/>
      <w:numFmt w:val="bullet"/>
      <w:lvlText w:val="•"/>
      <w:lvlJc w:val="left"/>
      <w:pPr>
        <w:ind w:left="2344" w:hanging="360"/>
      </w:pPr>
      <w:rPr/>
    </w:lvl>
    <w:lvl w:ilvl="2">
      <w:start w:val="0"/>
      <w:numFmt w:val="bullet"/>
      <w:lvlText w:val="•"/>
      <w:lvlJc w:val="left"/>
      <w:pPr>
        <w:ind w:left="3109" w:hanging="360"/>
      </w:pPr>
      <w:rPr/>
    </w:lvl>
    <w:lvl w:ilvl="3">
      <w:start w:val="0"/>
      <w:numFmt w:val="bullet"/>
      <w:lvlText w:val="•"/>
      <w:lvlJc w:val="left"/>
      <w:pPr>
        <w:ind w:left="3874" w:hanging="360"/>
      </w:pPr>
      <w:rPr/>
    </w:lvl>
    <w:lvl w:ilvl="4">
      <w:start w:val="0"/>
      <w:numFmt w:val="bullet"/>
      <w:lvlText w:val="•"/>
      <w:lvlJc w:val="left"/>
      <w:pPr>
        <w:ind w:left="4639" w:hanging="360"/>
      </w:pPr>
      <w:rPr/>
    </w:lvl>
    <w:lvl w:ilvl="5">
      <w:start w:val="0"/>
      <w:numFmt w:val="bullet"/>
      <w:lvlText w:val="•"/>
      <w:lvlJc w:val="left"/>
      <w:pPr>
        <w:ind w:left="5404" w:hanging="360"/>
      </w:pPr>
      <w:rPr/>
    </w:lvl>
    <w:lvl w:ilvl="6">
      <w:start w:val="0"/>
      <w:numFmt w:val="bullet"/>
      <w:lvlText w:val="•"/>
      <w:lvlJc w:val="left"/>
      <w:pPr>
        <w:ind w:left="6168" w:hanging="360"/>
      </w:pPr>
      <w:rPr/>
    </w:lvl>
    <w:lvl w:ilvl="7">
      <w:start w:val="0"/>
      <w:numFmt w:val="bullet"/>
      <w:lvlText w:val="•"/>
      <w:lvlJc w:val="left"/>
      <w:pPr>
        <w:ind w:left="6933" w:hanging="360"/>
      </w:pPr>
      <w:rPr/>
    </w:lvl>
    <w:lvl w:ilvl="8">
      <w:start w:val="0"/>
      <w:numFmt w:val="bullet"/>
      <w:lvlText w:val="•"/>
      <w:lvlJc w:val="left"/>
      <w:pPr>
        <w:ind w:left="7698" w:hanging="360"/>
      </w:pPr>
      <w:rPr/>
    </w:lvl>
  </w:abstractNum>
  <w:abstractNum w:abstractNumId="5">
    <w:lvl w:ilvl="0">
      <w:start w:val="0"/>
      <w:numFmt w:val="bullet"/>
      <w:lvlText w:val="●"/>
      <w:lvlJc w:val="left"/>
      <w:pPr>
        <w:ind w:left="562" w:hanging="360"/>
      </w:pPr>
      <w:rPr>
        <w:rFonts w:ascii="Helvetica Neue" w:cs="Helvetica Neue" w:eastAsia="Helvetica Neue" w:hAnsi="Helvetica Neue"/>
        <w:b w:val="0"/>
        <w:bCs w:val="0"/>
        <w:i w:val="0"/>
        <w:iCs w:val="0"/>
        <w:sz w:val="20"/>
        <w:szCs w:val="20"/>
      </w:rPr>
    </w:lvl>
    <w:lvl w:ilvl="1">
      <w:start w:val="0"/>
      <w:numFmt w:val="bullet"/>
      <w:lvlText w:val="•"/>
      <w:lvlJc w:val="left"/>
      <w:pPr>
        <w:ind w:left="1426" w:hanging="360"/>
      </w:pPr>
      <w:rPr/>
    </w:lvl>
    <w:lvl w:ilvl="2">
      <w:start w:val="0"/>
      <w:numFmt w:val="bullet"/>
      <w:lvlText w:val="•"/>
      <w:lvlJc w:val="left"/>
      <w:pPr>
        <w:ind w:left="2293" w:hanging="360"/>
      </w:pPr>
      <w:rPr/>
    </w:lvl>
    <w:lvl w:ilvl="3">
      <w:start w:val="0"/>
      <w:numFmt w:val="bullet"/>
      <w:lvlText w:val="•"/>
      <w:lvlJc w:val="left"/>
      <w:pPr>
        <w:ind w:left="3160" w:hanging="360"/>
      </w:pPr>
      <w:rPr/>
    </w:lvl>
    <w:lvl w:ilvl="4">
      <w:start w:val="0"/>
      <w:numFmt w:val="bullet"/>
      <w:lvlText w:val="•"/>
      <w:lvlJc w:val="left"/>
      <w:pPr>
        <w:ind w:left="4027" w:hanging="360"/>
      </w:pPr>
      <w:rPr/>
    </w:lvl>
    <w:lvl w:ilvl="5">
      <w:start w:val="0"/>
      <w:numFmt w:val="bullet"/>
      <w:lvlText w:val="•"/>
      <w:lvlJc w:val="left"/>
      <w:pPr>
        <w:ind w:left="4894" w:hanging="360"/>
      </w:pPr>
      <w:rPr/>
    </w:lvl>
    <w:lvl w:ilvl="6">
      <w:start w:val="0"/>
      <w:numFmt w:val="bullet"/>
      <w:lvlText w:val="•"/>
      <w:lvlJc w:val="left"/>
      <w:pPr>
        <w:ind w:left="5760" w:hanging="360"/>
      </w:pPr>
      <w:rPr/>
    </w:lvl>
    <w:lvl w:ilvl="7">
      <w:start w:val="0"/>
      <w:numFmt w:val="bullet"/>
      <w:lvlText w:val="•"/>
      <w:lvlJc w:val="left"/>
      <w:pPr>
        <w:ind w:left="6627" w:hanging="360"/>
      </w:pPr>
      <w:rPr/>
    </w:lvl>
    <w:lvl w:ilvl="8">
      <w:start w:val="0"/>
      <w:numFmt w:val="bullet"/>
      <w:lvlText w:val="•"/>
      <w:lvlJc w:val="left"/>
      <w:pPr>
        <w:ind w:left="7494" w:hanging="360"/>
      </w:pPr>
      <w:rPr/>
    </w:lvl>
  </w:abstractNum>
  <w:abstractNum w:abstractNumId="6">
    <w:lvl w:ilvl="0">
      <w:start w:val="0"/>
      <w:numFmt w:val="bullet"/>
      <w:lvlText w:val="●"/>
      <w:lvlJc w:val="left"/>
      <w:pPr>
        <w:ind w:left="862" w:hanging="360"/>
      </w:pPr>
      <w:rPr>
        <w:rFonts w:ascii="Helvetica Neue" w:cs="Helvetica Neue" w:eastAsia="Helvetica Neue" w:hAnsi="Helvetica Neue"/>
        <w:b w:val="0"/>
        <w:bCs w:val="0"/>
        <w:i w:val="0"/>
        <w:iCs w:val="0"/>
        <w:sz w:val="20"/>
        <w:szCs w:val="20"/>
      </w:rPr>
    </w:lvl>
    <w:lvl w:ilvl="1">
      <w:start w:val="0"/>
      <w:numFmt w:val="bullet"/>
      <w:lvlText w:val="•"/>
      <w:lvlJc w:val="left"/>
      <w:pPr>
        <w:ind w:left="1696" w:hanging="360"/>
      </w:pPr>
      <w:rPr/>
    </w:lvl>
    <w:lvl w:ilvl="2">
      <w:start w:val="0"/>
      <w:numFmt w:val="bullet"/>
      <w:lvlText w:val="•"/>
      <w:lvlJc w:val="left"/>
      <w:pPr>
        <w:ind w:left="2533" w:hanging="360"/>
      </w:pPr>
      <w:rPr/>
    </w:lvl>
    <w:lvl w:ilvl="3">
      <w:start w:val="0"/>
      <w:numFmt w:val="bullet"/>
      <w:lvlText w:val="•"/>
      <w:lvlJc w:val="left"/>
      <w:pPr>
        <w:ind w:left="3370" w:hanging="360"/>
      </w:pPr>
      <w:rPr/>
    </w:lvl>
    <w:lvl w:ilvl="4">
      <w:start w:val="0"/>
      <w:numFmt w:val="bullet"/>
      <w:lvlText w:val="•"/>
      <w:lvlJc w:val="left"/>
      <w:pPr>
        <w:ind w:left="4207" w:hanging="360"/>
      </w:pPr>
      <w:rPr/>
    </w:lvl>
    <w:lvl w:ilvl="5">
      <w:start w:val="0"/>
      <w:numFmt w:val="bullet"/>
      <w:lvlText w:val="•"/>
      <w:lvlJc w:val="left"/>
      <w:pPr>
        <w:ind w:left="5044" w:hanging="360"/>
      </w:pPr>
      <w:rPr/>
    </w:lvl>
    <w:lvl w:ilvl="6">
      <w:start w:val="0"/>
      <w:numFmt w:val="bullet"/>
      <w:lvlText w:val="•"/>
      <w:lvlJc w:val="left"/>
      <w:pPr>
        <w:ind w:left="5880" w:hanging="360"/>
      </w:pPr>
      <w:rPr/>
    </w:lvl>
    <w:lvl w:ilvl="7">
      <w:start w:val="0"/>
      <w:numFmt w:val="bullet"/>
      <w:lvlText w:val="•"/>
      <w:lvlJc w:val="left"/>
      <w:pPr>
        <w:ind w:left="6717" w:hanging="360"/>
      </w:pPr>
      <w:rPr/>
    </w:lvl>
    <w:lvl w:ilvl="8">
      <w:start w:val="0"/>
      <w:numFmt w:val="bullet"/>
      <w:lvlText w:val="•"/>
      <w:lvlJc w:val="left"/>
      <w:pPr>
        <w:ind w:left="7554"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2"/>
        <w:szCs w:val="22"/>
        <w:lang w:val="sk"/>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58" w:lineRule="auto"/>
      <w:ind w:left="127"/>
      <w:jc w:val="center"/>
    </w:pPr>
    <w:rPr>
      <w:rFonts w:ascii="Tahoma" w:cs="Tahoma" w:eastAsia="Tahoma" w:hAnsi="Tahoma"/>
      <w:b w:val="1"/>
      <w:bCs w:val="1"/>
      <w:sz w:val="32"/>
      <w:szCs w:val="32"/>
    </w:rPr>
  </w:style>
  <w:style w:type="paragraph" w:styleId="Heading2">
    <w:name w:val="heading 2"/>
    <w:basedOn w:val="Normal"/>
    <w:next w:val="Normal"/>
    <w:pPr>
      <w:ind w:left="141"/>
    </w:pPr>
    <w:rPr>
      <w:rFonts w:ascii="Tahoma" w:cs="Tahoma" w:eastAsia="Tahoma" w:hAnsi="Tahoma"/>
      <w:b w:val="1"/>
      <w:bCs w:val="1"/>
      <w:sz w:val="20"/>
      <w:szCs w:val="20"/>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statny.dozor@pdp.gov.s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2026-03-21T00:00:00Z</vt:lpwstr>
  </property>
  <property fmtid="{D5CDD505-2E9C-101B-9397-08002B2CF9AE}" pid="3" name="Producer">
    <vt:lpwstr>Skia/PDF m113 Google Docs Renderer</vt:lpwstr>
  </property>
  <property fmtid="{D5CDD505-2E9C-101B-9397-08002B2CF9AE}" pid="4" name="LastSaved">
    <vt:lpwstr>2026-03-21T00:00:00Z</vt:lpwstr>
  </property>
</Properties>
</file>